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68" w:type="dxa"/>
        <w:tblCellSpacing w:w="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8"/>
      </w:tblGrid>
      <w:tr w:rsidR="00257ECB" w:rsidRPr="00257ECB" w:rsidTr="00257ECB">
        <w:trPr>
          <w:tblCellSpacing w:w="1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57ECB" w:rsidRPr="00257ECB" w:rsidRDefault="00257ECB" w:rsidP="00257ECB">
            <w:pPr>
              <w:spacing w:after="0" w:line="240" w:lineRule="auto"/>
              <w:rPr>
                <w:rFonts w:eastAsia="Times New Roman" w:cs="Times New Roman"/>
              </w:rPr>
            </w:pPr>
            <w:r w:rsidRPr="00257ECB">
              <w:rPr>
                <w:rFonts w:eastAsia="Times New Roman" w:cs="Times New Roman"/>
              </w:rPr>
              <w:t xml:space="preserve">State of Oregon: </w:t>
            </w:r>
            <w:r w:rsidRPr="00257ECB">
              <w:rPr>
                <w:rFonts w:eastAsia="Times New Roman" w:cs="Times New Roman"/>
                <w:b/>
                <w:bCs/>
              </w:rPr>
              <w:t>TRANSIENT LODGING TAXES</w:t>
            </w:r>
            <w:r w:rsidRPr="00257ECB">
              <w:rPr>
                <w:rFonts w:eastAsia="Times New Roman" w:cs="Times New Roman"/>
                <w:b/>
                <w:bCs/>
              </w:rPr>
              <w:br/>
            </w:r>
            <w:r w:rsidRPr="00257ECB">
              <w:rPr>
                <w:rFonts w:eastAsia="Times New Roman" w:cs="Times New Roman"/>
                <w:b/>
                <w:bCs/>
              </w:rPr>
              <w:t>320.300 Definitions for ORS 320.300 to 320.350</w:t>
            </w:r>
            <w:r w:rsidRPr="00257ECB">
              <w:rPr>
                <w:rFonts w:eastAsia="Times New Roman" w:cs="Times New Roman"/>
              </w:rPr>
              <w:br/>
            </w:r>
            <w:r w:rsidRPr="00257ECB">
              <w:rPr>
                <w:rFonts w:eastAsia="Times New Roman" w:cs="Times New Roman"/>
              </w:rPr>
              <w:br/>
            </w:r>
            <w:r w:rsidRPr="00257ECB">
              <w:rPr>
                <w:rFonts w:eastAsia="Times New Roman" w:cs="Times New Roman"/>
                <w:highlight w:val="yellow"/>
              </w:rPr>
              <w:t xml:space="preserve">(See yellow highlighted section on </w:t>
            </w:r>
            <w:r>
              <w:rPr>
                <w:rFonts w:eastAsia="Times New Roman" w:cs="Times New Roman"/>
                <w:highlight w:val="yellow"/>
              </w:rPr>
              <w:t xml:space="preserve">definition of </w:t>
            </w:r>
            <w:r w:rsidRPr="00257ECB">
              <w:rPr>
                <w:rFonts w:eastAsia="Times New Roman" w:cs="Times New Roman"/>
                <w:highlight w:val="yellow"/>
              </w:rPr>
              <w:t xml:space="preserve">allowable </w:t>
            </w:r>
            <w:r w:rsidR="00137969">
              <w:rPr>
                <w:rFonts w:eastAsia="Times New Roman" w:cs="Times New Roman"/>
                <w:highlight w:val="yellow"/>
              </w:rPr>
              <w:t>facilities, use of</w:t>
            </w:r>
            <w:r w:rsidRPr="00257ECB">
              <w:rPr>
                <w:rFonts w:eastAsia="Times New Roman" w:cs="Times New Roman"/>
                <w:highlight w:val="yellow"/>
              </w:rPr>
              <w:t xml:space="preserve"> TLT</w:t>
            </w:r>
            <w:r w:rsidR="00137969">
              <w:rPr>
                <w:rFonts w:eastAsia="Times New Roman" w:cs="Times New Roman"/>
                <w:highlight w:val="yellow"/>
              </w:rPr>
              <w:t xml:space="preserve"> funds</w:t>
            </w:r>
            <w:bookmarkStart w:id="0" w:name="_GoBack"/>
            <w:bookmarkEnd w:id="0"/>
            <w:r w:rsidRPr="00257ECB">
              <w:rPr>
                <w:rFonts w:eastAsia="Times New Roman" w:cs="Times New Roman"/>
                <w:highlight w:val="yellow"/>
              </w:rPr>
              <w:t>)</w:t>
            </w:r>
          </w:p>
          <w:p w:rsidR="00257ECB" w:rsidRPr="00257ECB" w:rsidRDefault="00257ECB" w:rsidP="00257ECB">
            <w:pPr>
              <w:spacing w:after="0" w:line="240" w:lineRule="auto"/>
              <w:rPr>
                <w:rFonts w:eastAsia="Times New Roman" w:cs="Times New Roman"/>
              </w:rPr>
            </w:pPr>
            <w:r w:rsidRPr="00257ECB">
              <w:rPr>
                <w:rFonts w:eastAsia="Times New Roman" w:cs="Times New Roman"/>
              </w:rPr>
              <w:br/>
            </w:r>
            <w:r w:rsidRPr="00257ECB">
              <w:rPr>
                <w:rFonts w:eastAsia="Times New Roman" w:cs="Times New Roman"/>
                <w:i/>
                <w:iCs/>
              </w:rPr>
              <w:t>The following excerpt from the 2007 Oregon Revised Statutes is included on this site to assist in your research on an issue. Please be aware that there are likely to be other statutes and rules, both federal and state, that may apply based on a specific event or fact situation. Also, most court-made law will not appear in a statute.</w:t>
            </w:r>
            <w:r w:rsidRPr="00257ECB">
              <w:rPr>
                <w:rFonts w:eastAsia="Times New Roman" w:cs="Times New Roman"/>
              </w:rPr>
              <w:br/>
            </w:r>
            <w:r w:rsidRPr="00257ECB">
              <w:rPr>
                <w:rFonts w:eastAsia="Times New Roman" w:cs="Times New Roman"/>
              </w:rPr>
              <w:br/>
            </w:r>
            <w:r w:rsidRPr="00257ECB">
              <w:rPr>
                <w:rFonts w:eastAsia="Times New Roman" w:cs="Times New Roman"/>
                <w:i/>
                <w:iCs/>
              </w:rPr>
              <w:t>Even if the statute on its face looks like it covers the situation, it may not. We urge you to consult your city attorney about your city's specific situation.</w:t>
            </w:r>
          </w:p>
        </w:tc>
      </w:tr>
    </w:tbl>
    <w:p w:rsidR="004A232C" w:rsidRPr="00257ECB" w:rsidRDefault="00257ECB">
      <w:r w:rsidRPr="00257ECB">
        <w:rPr>
          <w:rFonts w:eastAsia="Times New Roman" w:cs="Times New Roman"/>
        </w:rPr>
        <w:br/>
      </w:r>
      <w:r w:rsidRPr="00257ECB">
        <w:rPr>
          <w:rFonts w:eastAsia="Times New Roman" w:cs="Times New Roman"/>
        </w:rPr>
        <w:br/>
      </w:r>
      <w:r w:rsidRPr="00257ECB">
        <w:rPr>
          <w:rFonts w:eastAsia="Times New Roman" w:cs="Times New Roman"/>
          <w:b/>
          <w:bCs/>
        </w:rPr>
        <w:t>TRANSIENT LODGING TAXES</w:t>
      </w:r>
      <w:r w:rsidRPr="00257ECB">
        <w:rPr>
          <w:rFonts w:eastAsia="Times New Roman" w:cs="Times New Roman"/>
        </w:rPr>
        <w:br/>
      </w:r>
      <w:r w:rsidRPr="00257ECB">
        <w:rPr>
          <w:rFonts w:eastAsia="Times New Roman" w:cs="Times New Roman"/>
        </w:rPr>
        <w:br/>
      </w:r>
      <w:r w:rsidRPr="00257ECB">
        <w:rPr>
          <w:rFonts w:eastAsia="Times New Roman" w:cs="Times New Roman"/>
          <w:b/>
          <w:bCs/>
        </w:rPr>
        <w:t>(Definitions)</w:t>
      </w:r>
      <w:r w:rsidRPr="00257ECB">
        <w:rPr>
          <w:rFonts w:eastAsia="Times New Roman" w:cs="Times New Roman"/>
        </w:rPr>
        <w:br/>
      </w:r>
      <w:r w:rsidRPr="00257ECB">
        <w:rPr>
          <w:rFonts w:eastAsia="Times New Roman" w:cs="Times New Roman"/>
        </w:rPr>
        <w:br/>
      </w:r>
      <w:r w:rsidRPr="00257ECB">
        <w:rPr>
          <w:rFonts w:eastAsia="Times New Roman" w:cs="Times New Roman"/>
          <w:b/>
          <w:bCs/>
        </w:rPr>
        <w:t>320.300 Definitions for ORS 320.300 to 320.350.</w:t>
      </w:r>
      <w:r w:rsidRPr="00257ECB">
        <w:rPr>
          <w:rFonts w:eastAsia="Times New Roman" w:cs="Times New Roman"/>
        </w:rPr>
        <w:t xml:space="preserve"> As used in ORS 320.300 to 320.350:</w:t>
      </w:r>
      <w:r w:rsidRPr="00257ECB">
        <w:rPr>
          <w:rFonts w:eastAsia="Times New Roman" w:cs="Times New Roman"/>
        </w:rPr>
        <w:br/>
      </w:r>
      <w:r w:rsidRPr="00257ECB">
        <w:rPr>
          <w:rFonts w:eastAsia="Times New Roman" w:cs="Times New Roman"/>
        </w:rPr>
        <w:br/>
        <w:t>(1) “Collection reimbursement charge” means the amount a transient lodging provider may retain as reimbursement for the costs incurred by the provider in collecting and reporting a transient lodging tax and in maintaining transient lodging tax records.</w:t>
      </w:r>
      <w:r w:rsidRPr="00257ECB">
        <w:rPr>
          <w:rFonts w:eastAsia="Times New Roman" w:cs="Times New Roman"/>
        </w:rPr>
        <w:br/>
      </w:r>
      <w:r w:rsidRPr="00257ECB">
        <w:rPr>
          <w:rFonts w:eastAsia="Times New Roman" w:cs="Times New Roman"/>
        </w:rPr>
        <w:br/>
      </w:r>
      <w:r w:rsidRPr="00257ECB">
        <w:rPr>
          <w:rFonts w:eastAsia="Times New Roman" w:cs="Times New Roman"/>
          <w:highlight w:val="yellow"/>
        </w:rPr>
        <w:t>(2) “Conference center” means a facility that:</w:t>
      </w:r>
      <w:r w:rsidRPr="00257ECB">
        <w:rPr>
          <w:rFonts w:eastAsia="Times New Roman" w:cs="Times New Roman"/>
          <w:highlight w:val="yellow"/>
        </w:rPr>
        <w:br/>
      </w:r>
      <w:r w:rsidRPr="00257ECB">
        <w:rPr>
          <w:rFonts w:eastAsia="Times New Roman" w:cs="Times New Roman"/>
          <w:highlight w:val="yellow"/>
        </w:rPr>
        <w:br/>
        <w:t>      (a) Is owned or partially owned by a unit of local government, a governmental agency or a nonprofit organization; and</w:t>
      </w:r>
      <w:r w:rsidRPr="00257ECB">
        <w:rPr>
          <w:rFonts w:eastAsia="Times New Roman" w:cs="Times New Roman"/>
          <w:highlight w:val="yellow"/>
        </w:rPr>
        <w:br/>
      </w:r>
      <w:r w:rsidRPr="00257ECB">
        <w:rPr>
          <w:rFonts w:eastAsia="Times New Roman" w:cs="Times New Roman"/>
          <w:highlight w:val="yellow"/>
        </w:rPr>
        <w:br/>
        <w:t>      (b) Meets the current membership criteria of the International Association of Conference Centers.</w:t>
      </w:r>
      <w:r w:rsidRPr="00257ECB">
        <w:rPr>
          <w:rFonts w:eastAsia="Times New Roman" w:cs="Times New Roman"/>
        </w:rPr>
        <w:br/>
      </w:r>
      <w:r w:rsidRPr="00257ECB">
        <w:rPr>
          <w:rFonts w:eastAsia="Times New Roman" w:cs="Times New Roman"/>
        </w:rPr>
        <w:br/>
      </w:r>
      <w:r w:rsidRPr="00257ECB">
        <w:rPr>
          <w:rFonts w:eastAsia="Times New Roman" w:cs="Times New Roman"/>
          <w:highlight w:val="yellow"/>
        </w:rPr>
        <w:t>(3) “Convention center” means a new or improved facility that:</w:t>
      </w:r>
      <w:r w:rsidRPr="00257ECB">
        <w:rPr>
          <w:rFonts w:eastAsia="Times New Roman" w:cs="Times New Roman"/>
          <w:highlight w:val="yellow"/>
        </w:rPr>
        <w:br/>
      </w:r>
      <w:r w:rsidRPr="00257ECB">
        <w:rPr>
          <w:rFonts w:eastAsia="Times New Roman" w:cs="Times New Roman"/>
          <w:highlight w:val="yellow"/>
        </w:rPr>
        <w:br/>
        <w:t>      (a) Is capable of attracting and accommodating conventions and trade shows from international, national and regional markets requiring exhibition space, ballroom space, meeting rooms and any other associated space, including but not limited to banquet facilities, loading areas and lobby and registration areas;</w:t>
      </w:r>
      <w:r w:rsidRPr="00257ECB">
        <w:rPr>
          <w:rFonts w:eastAsia="Times New Roman" w:cs="Times New Roman"/>
          <w:highlight w:val="yellow"/>
        </w:rPr>
        <w:br/>
      </w:r>
      <w:r w:rsidRPr="00257ECB">
        <w:rPr>
          <w:rFonts w:eastAsia="Times New Roman" w:cs="Times New Roman"/>
          <w:highlight w:val="yellow"/>
        </w:rPr>
        <w:br/>
        <w:t>      (b) Has a total meeting room and ballroom space between one-third and one-half of the total size of the center’s exhibition space;</w:t>
      </w:r>
      <w:r w:rsidRPr="00257ECB">
        <w:rPr>
          <w:rFonts w:eastAsia="Times New Roman" w:cs="Times New Roman"/>
          <w:highlight w:val="yellow"/>
        </w:rPr>
        <w:br/>
      </w:r>
      <w:r w:rsidRPr="00257ECB">
        <w:rPr>
          <w:rFonts w:eastAsia="Times New Roman" w:cs="Times New Roman"/>
          <w:highlight w:val="yellow"/>
        </w:rPr>
        <w:br/>
        <w:t>      (c) Generates a majority of its business income from tourists;</w:t>
      </w:r>
      <w:r w:rsidRPr="00257ECB">
        <w:rPr>
          <w:rFonts w:eastAsia="Times New Roman" w:cs="Times New Roman"/>
          <w:highlight w:val="yellow"/>
        </w:rPr>
        <w:br/>
      </w:r>
      <w:r w:rsidRPr="00257ECB">
        <w:rPr>
          <w:rFonts w:eastAsia="Times New Roman" w:cs="Times New Roman"/>
          <w:highlight w:val="yellow"/>
        </w:rPr>
        <w:br/>
        <w:t>      (d) Has a room-block relationship with the local lodging industry; and</w:t>
      </w:r>
      <w:r w:rsidRPr="00257ECB">
        <w:rPr>
          <w:rFonts w:eastAsia="Times New Roman" w:cs="Times New Roman"/>
          <w:highlight w:val="yellow"/>
        </w:rPr>
        <w:br/>
      </w:r>
      <w:r w:rsidRPr="00257ECB">
        <w:rPr>
          <w:rFonts w:eastAsia="Times New Roman" w:cs="Times New Roman"/>
          <w:highlight w:val="yellow"/>
        </w:rPr>
        <w:br/>
      </w:r>
      <w:r w:rsidRPr="00257ECB">
        <w:rPr>
          <w:rFonts w:eastAsia="Times New Roman" w:cs="Times New Roman"/>
          <w:highlight w:val="yellow"/>
        </w:rPr>
        <w:lastRenderedPageBreak/>
        <w:t>      (e) Is owned by a unit of local government, a governmental agency or a nonprofit organization.</w:t>
      </w:r>
      <w:r w:rsidRPr="00257ECB">
        <w:rPr>
          <w:rFonts w:eastAsia="Times New Roman" w:cs="Times New Roman"/>
        </w:rPr>
        <w:br/>
      </w:r>
      <w:r w:rsidRPr="00257ECB">
        <w:rPr>
          <w:rFonts w:eastAsia="Times New Roman" w:cs="Times New Roman"/>
        </w:rPr>
        <w:br/>
        <w:t>(4) “Local transient lodging tax” means a tax imposed by a unit of local government on the sale, service or furnishing of transient lodging.</w:t>
      </w:r>
      <w:r w:rsidRPr="00257ECB">
        <w:rPr>
          <w:rFonts w:eastAsia="Times New Roman" w:cs="Times New Roman"/>
        </w:rPr>
        <w:br/>
      </w:r>
      <w:r w:rsidRPr="00257ECB">
        <w:rPr>
          <w:rFonts w:eastAsia="Times New Roman" w:cs="Times New Roman"/>
        </w:rPr>
        <w:br/>
        <w:t>(5) “State transient lodging tax” means the tax imposed under ORS 320.305.</w:t>
      </w:r>
      <w:r w:rsidRPr="00257ECB">
        <w:rPr>
          <w:rFonts w:eastAsia="Times New Roman" w:cs="Times New Roman"/>
        </w:rPr>
        <w:br/>
      </w:r>
      <w:r w:rsidRPr="00257ECB">
        <w:rPr>
          <w:rFonts w:eastAsia="Times New Roman" w:cs="Times New Roman"/>
        </w:rPr>
        <w:br/>
        <w:t>(6) “Tourism” means economic activity resulting from tourists.</w:t>
      </w:r>
      <w:r w:rsidRPr="00257ECB">
        <w:rPr>
          <w:rFonts w:eastAsia="Times New Roman" w:cs="Times New Roman"/>
        </w:rPr>
        <w:br/>
      </w:r>
      <w:r w:rsidRPr="00257ECB">
        <w:rPr>
          <w:rFonts w:eastAsia="Times New Roman" w:cs="Times New Roman"/>
        </w:rPr>
        <w:br/>
        <w:t>(7) “Tourism promotion” means any of the following activities:</w:t>
      </w:r>
      <w:r w:rsidRPr="00257ECB">
        <w:rPr>
          <w:rFonts w:eastAsia="Times New Roman" w:cs="Times New Roman"/>
        </w:rPr>
        <w:br/>
      </w:r>
      <w:r w:rsidRPr="00257ECB">
        <w:rPr>
          <w:rFonts w:eastAsia="Times New Roman" w:cs="Times New Roman"/>
        </w:rPr>
        <w:br/>
        <w:t>      (a) Advertising, publicizing or distributing information for the purpose of attracting and welcoming tourists;</w:t>
      </w:r>
      <w:r w:rsidRPr="00257ECB">
        <w:rPr>
          <w:rFonts w:eastAsia="Times New Roman" w:cs="Times New Roman"/>
        </w:rPr>
        <w:br/>
      </w:r>
      <w:r w:rsidRPr="00257ECB">
        <w:rPr>
          <w:rFonts w:eastAsia="Times New Roman" w:cs="Times New Roman"/>
        </w:rPr>
        <w:br/>
        <w:t>      (b) Conducting strategic planning and research necessary to stimulate future tourism development;</w:t>
      </w:r>
      <w:r w:rsidRPr="00257ECB">
        <w:rPr>
          <w:rFonts w:eastAsia="Times New Roman" w:cs="Times New Roman"/>
        </w:rPr>
        <w:br/>
      </w:r>
      <w:r w:rsidRPr="00257ECB">
        <w:rPr>
          <w:rFonts w:eastAsia="Times New Roman" w:cs="Times New Roman"/>
        </w:rPr>
        <w:br/>
        <w:t>      (c) Operating tourism promotion agencies; and</w:t>
      </w:r>
      <w:r w:rsidRPr="00257ECB">
        <w:rPr>
          <w:rFonts w:eastAsia="Times New Roman" w:cs="Times New Roman"/>
        </w:rPr>
        <w:br/>
      </w:r>
      <w:r w:rsidRPr="00257ECB">
        <w:rPr>
          <w:rFonts w:eastAsia="Times New Roman" w:cs="Times New Roman"/>
        </w:rPr>
        <w:br/>
        <w:t>      (d) Marketing special events and festivals designed to attract tourists.</w:t>
      </w:r>
      <w:r w:rsidRPr="00257ECB">
        <w:rPr>
          <w:rFonts w:eastAsia="Times New Roman" w:cs="Times New Roman"/>
        </w:rPr>
        <w:br/>
      </w:r>
      <w:r w:rsidRPr="00257ECB">
        <w:rPr>
          <w:rFonts w:eastAsia="Times New Roman" w:cs="Times New Roman"/>
        </w:rPr>
        <w:br/>
        <w:t>(8) “Tourism promotion agency” includes:</w:t>
      </w:r>
      <w:r w:rsidRPr="00257ECB">
        <w:rPr>
          <w:rFonts w:eastAsia="Times New Roman" w:cs="Times New Roman"/>
        </w:rPr>
        <w:br/>
      </w:r>
      <w:r w:rsidRPr="00257ECB">
        <w:rPr>
          <w:rFonts w:eastAsia="Times New Roman" w:cs="Times New Roman"/>
        </w:rPr>
        <w:br/>
        <w:t>      (a) An incorporated nonprofit organization or governmental unit that is responsible for the tourism promotion of a destination on a year-round basis.</w:t>
      </w:r>
      <w:r w:rsidRPr="00257ECB">
        <w:rPr>
          <w:rFonts w:eastAsia="Times New Roman" w:cs="Times New Roman"/>
        </w:rPr>
        <w:br/>
      </w:r>
      <w:r w:rsidRPr="00257ECB">
        <w:rPr>
          <w:rFonts w:eastAsia="Times New Roman" w:cs="Times New Roman"/>
        </w:rPr>
        <w:br/>
        <w:t>      (b) A nonprofit entity that manages tourism-related economic development plans, programs and projects.</w:t>
      </w:r>
      <w:r w:rsidRPr="00257ECB">
        <w:rPr>
          <w:rFonts w:eastAsia="Times New Roman" w:cs="Times New Roman"/>
        </w:rPr>
        <w:br/>
      </w:r>
      <w:r w:rsidRPr="00257ECB">
        <w:rPr>
          <w:rFonts w:eastAsia="Times New Roman" w:cs="Times New Roman"/>
        </w:rPr>
        <w:br/>
        <w:t>      (c) A regional or statewide association that represents entities that rely on tourism-related business for more than 50 percent of their total income.</w:t>
      </w:r>
      <w:r w:rsidRPr="00257ECB">
        <w:rPr>
          <w:rFonts w:eastAsia="Times New Roman" w:cs="Times New Roman"/>
        </w:rPr>
        <w:br/>
      </w:r>
      <w:r w:rsidRPr="00257ECB">
        <w:rPr>
          <w:rFonts w:eastAsia="Times New Roman" w:cs="Times New Roman"/>
        </w:rPr>
        <w:br/>
      </w:r>
      <w:r w:rsidRPr="00257ECB">
        <w:rPr>
          <w:rFonts w:eastAsia="Times New Roman" w:cs="Times New Roman"/>
          <w:highlight w:val="yellow"/>
        </w:rPr>
        <w:t>(9) “Tourism-related facility”:</w:t>
      </w:r>
      <w:r w:rsidRPr="00257ECB">
        <w:rPr>
          <w:rFonts w:eastAsia="Times New Roman" w:cs="Times New Roman"/>
          <w:highlight w:val="yellow"/>
        </w:rPr>
        <w:br/>
      </w:r>
      <w:r w:rsidRPr="00257ECB">
        <w:rPr>
          <w:rFonts w:eastAsia="Times New Roman" w:cs="Times New Roman"/>
          <w:highlight w:val="yellow"/>
        </w:rPr>
        <w:br/>
        <w:t>      (a) Means a conference center, convention center or visitor information center; and</w:t>
      </w:r>
      <w:r w:rsidRPr="00257ECB">
        <w:rPr>
          <w:rFonts w:eastAsia="Times New Roman" w:cs="Times New Roman"/>
          <w:highlight w:val="yellow"/>
        </w:rPr>
        <w:br/>
      </w:r>
      <w:r w:rsidRPr="00257ECB">
        <w:rPr>
          <w:rFonts w:eastAsia="Times New Roman" w:cs="Times New Roman"/>
          <w:highlight w:val="yellow"/>
        </w:rPr>
        <w:br/>
        <w:t>      (b) Means other improved real property that has a useful life of 10 or more years and has a substantial purpose of supporting tourism or accommodating tourist activities.</w:t>
      </w:r>
      <w:r w:rsidRPr="00257ECB">
        <w:rPr>
          <w:rFonts w:eastAsia="Times New Roman" w:cs="Times New Roman"/>
        </w:rPr>
        <w:br/>
      </w:r>
      <w:r w:rsidRPr="00257ECB">
        <w:rPr>
          <w:rFonts w:eastAsia="Times New Roman" w:cs="Times New Roman"/>
        </w:rPr>
        <w:br/>
        <w:t>(10) “Tourist” means a person who, for business, pleasure, recreation or participation in events related to the arts, heritage or culture, travels from the community in which that person is a resident to a different community that is separate, distinct from and unrelated to the person’s community of residence, and that trip:</w:t>
      </w:r>
      <w:r w:rsidRPr="00257ECB">
        <w:rPr>
          <w:rFonts w:eastAsia="Times New Roman" w:cs="Times New Roman"/>
        </w:rPr>
        <w:br/>
      </w:r>
      <w:r w:rsidRPr="00257ECB">
        <w:rPr>
          <w:rFonts w:eastAsia="Times New Roman" w:cs="Times New Roman"/>
        </w:rPr>
        <w:br/>
        <w:t>      (a) Requires the person to travel more than 50 miles from the community of residence; or</w:t>
      </w:r>
      <w:r w:rsidRPr="00257ECB">
        <w:rPr>
          <w:rFonts w:eastAsia="Times New Roman" w:cs="Times New Roman"/>
        </w:rPr>
        <w:br/>
      </w:r>
      <w:r w:rsidRPr="00257ECB">
        <w:rPr>
          <w:rFonts w:eastAsia="Times New Roman" w:cs="Times New Roman"/>
        </w:rPr>
        <w:lastRenderedPageBreak/>
        <w:br/>
        <w:t>      (b) Includes an overnight stay.</w:t>
      </w:r>
      <w:r w:rsidRPr="00257ECB">
        <w:rPr>
          <w:rFonts w:eastAsia="Times New Roman" w:cs="Times New Roman"/>
        </w:rPr>
        <w:br/>
      </w:r>
      <w:r w:rsidRPr="00257ECB">
        <w:rPr>
          <w:rFonts w:eastAsia="Times New Roman" w:cs="Times New Roman"/>
        </w:rPr>
        <w:br/>
        <w:t xml:space="preserve">(11) “Transient lodging” means: </w:t>
      </w:r>
      <w:r w:rsidRPr="00257ECB">
        <w:rPr>
          <w:rFonts w:eastAsia="Times New Roman" w:cs="Times New Roman"/>
        </w:rPr>
        <w:br/>
      </w:r>
      <w:r w:rsidRPr="00257ECB">
        <w:rPr>
          <w:rFonts w:eastAsia="Times New Roman" w:cs="Times New Roman"/>
        </w:rPr>
        <w:br/>
        <w:t>      (a) Hotel, motel and inn dwelling units that are used for temporary overnight human occupancy;</w:t>
      </w:r>
      <w:r w:rsidRPr="00257ECB">
        <w:rPr>
          <w:rFonts w:eastAsia="Times New Roman" w:cs="Times New Roman"/>
        </w:rPr>
        <w:br/>
      </w:r>
      <w:r w:rsidRPr="00257ECB">
        <w:rPr>
          <w:rFonts w:eastAsia="Times New Roman" w:cs="Times New Roman"/>
        </w:rPr>
        <w:br/>
        <w:t>      (b) Spaces used for parking recreational vehicles or erecting tents during periods of human occupancy; or</w:t>
      </w:r>
      <w:r w:rsidRPr="00257ECB">
        <w:rPr>
          <w:rFonts w:eastAsia="Times New Roman" w:cs="Times New Roman"/>
        </w:rPr>
        <w:br/>
      </w:r>
      <w:r w:rsidRPr="00257ECB">
        <w:rPr>
          <w:rFonts w:eastAsia="Times New Roman" w:cs="Times New Roman"/>
        </w:rPr>
        <w:br/>
        <w:t>      (c) Houses, cabins, condominiums, apartment units or other dwelling units, or portions of any of these dwelling units, that are used for temporary human occupancy.</w:t>
      </w:r>
      <w:r w:rsidRPr="00257ECB">
        <w:rPr>
          <w:rFonts w:eastAsia="Times New Roman" w:cs="Times New Roman"/>
        </w:rPr>
        <w:br/>
      </w:r>
      <w:r w:rsidRPr="00257ECB">
        <w:rPr>
          <w:rFonts w:eastAsia="Times New Roman" w:cs="Times New Roman"/>
        </w:rPr>
        <w:br/>
        <w:t>(12) “Unit of local government” has the meaning given that term in ORS 190.003.</w:t>
      </w:r>
      <w:r w:rsidRPr="00257ECB">
        <w:rPr>
          <w:rFonts w:eastAsia="Times New Roman" w:cs="Times New Roman"/>
        </w:rPr>
        <w:br/>
      </w:r>
      <w:r w:rsidRPr="00257ECB">
        <w:rPr>
          <w:rFonts w:eastAsia="Times New Roman" w:cs="Times New Roman"/>
        </w:rPr>
        <w:br/>
      </w:r>
      <w:r w:rsidRPr="00257ECB">
        <w:rPr>
          <w:rFonts w:eastAsia="Times New Roman" w:cs="Times New Roman"/>
          <w:highlight w:val="yellow"/>
        </w:rPr>
        <w:t>(13) “Visitor information center” means a building, or a portion of a building, the main purpose of which is to distribute or disseminate information to tourists. [Formerly 305.824; 2005 c.187 §1]</w:t>
      </w:r>
      <w:r w:rsidRPr="00257ECB">
        <w:rPr>
          <w:rFonts w:eastAsia="Times New Roman" w:cs="Times New Roman"/>
        </w:rPr>
        <w:t xml:space="preserve"> </w:t>
      </w:r>
      <w:r w:rsidRPr="00257ECB">
        <w:rPr>
          <w:rFonts w:eastAsia="Times New Roman" w:cs="Times New Roman"/>
        </w:rPr>
        <w:br/>
      </w:r>
      <w:r w:rsidRPr="00257ECB">
        <w:rPr>
          <w:rFonts w:eastAsia="Times New Roman" w:cs="Times New Roman"/>
        </w:rPr>
        <w:br/>
        <w:t>Note: 320.300 to 320.350 were enacted into law by the Legislative Assembly but were not added to or made a part of ORS chapters 305 to 324 or any series therein by legislative action. See Preface to Oregon Revised Statutes for further explanation.</w:t>
      </w:r>
      <w:r w:rsidRPr="00257ECB">
        <w:rPr>
          <w:rFonts w:eastAsia="Times New Roman" w:cs="Times New Roman"/>
        </w:rPr>
        <w:br/>
      </w:r>
      <w:r w:rsidRPr="00257ECB">
        <w:rPr>
          <w:rFonts w:eastAsia="Times New Roman" w:cs="Times New Roman"/>
        </w:rPr>
        <w:br/>
      </w:r>
      <w:r w:rsidRPr="00257ECB">
        <w:rPr>
          <w:rFonts w:eastAsia="Times New Roman" w:cs="Times New Roman"/>
          <w:b/>
          <w:bCs/>
        </w:rPr>
        <w:t>320.302 Certain terms defined by rule.</w:t>
      </w:r>
      <w:r w:rsidRPr="00257ECB">
        <w:rPr>
          <w:rFonts w:eastAsia="Times New Roman" w:cs="Times New Roman"/>
        </w:rPr>
        <w:t xml:space="preserve"> The Department of Revenue may by rule define “dwelling unit,” “nonprofit facility,” “temporary human occupancy” and other terms for purposes of ORS 320.300 to 320.350. [2005 c.187 §5]</w:t>
      </w:r>
      <w:r w:rsidRPr="00257ECB">
        <w:rPr>
          <w:rFonts w:eastAsia="Times New Roman" w:cs="Times New Roman"/>
        </w:rPr>
        <w:br/>
      </w:r>
      <w:r w:rsidRPr="00257ECB">
        <w:rPr>
          <w:rFonts w:eastAsia="Times New Roman" w:cs="Times New Roman"/>
        </w:rPr>
        <w:br/>
        <w:t>Note: See note under 320.300.</w:t>
      </w:r>
      <w:r w:rsidRPr="00257ECB">
        <w:rPr>
          <w:rFonts w:eastAsia="Times New Roman" w:cs="Times New Roman"/>
        </w:rPr>
        <w:br/>
      </w:r>
      <w:r w:rsidRPr="00257ECB">
        <w:rPr>
          <w:rFonts w:eastAsia="Times New Roman" w:cs="Times New Roman"/>
        </w:rPr>
        <w:br/>
      </w:r>
      <w:r w:rsidRPr="00257ECB">
        <w:rPr>
          <w:rFonts w:eastAsia="Times New Roman" w:cs="Times New Roman"/>
          <w:b/>
          <w:bCs/>
        </w:rPr>
        <w:t>(State Transient Lodging Tax)</w:t>
      </w:r>
      <w:r w:rsidRPr="00257ECB">
        <w:rPr>
          <w:rFonts w:eastAsia="Times New Roman" w:cs="Times New Roman"/>
        </w:rPr>
        <w:br/>
      </w:r>
      <w:r w:rsidRPr="00257ECB">
        <w:rPr>
          <w:rFonts w:eastAsia="Times New Roman" w:cs="Times New Roman"/>
        </w:rPr>
        <w:br/>
      </w:r>
      <w:r w:rsidRPr="00257ECB">
        <w:rPr>
          <w:rFonts w:eastAsia="Times New Roman" w:cs="Times New Roman"/>
          <w:b/>
          <w:bCs/>
        </w:rPr>
        <w:t>320.305 Rate of tax; provider reimbursement.</w:t>
      </w:r>
      <w:r w:rsidRPr="00257ECB">
        <w:rPr>
          <w:rFonts w:eastAsia="Times New Roman" w:cs="Times New Roman"/>
        </w:rPr>
        <w:t xml:space="preserve"> (1) A tax of one percent is imposed on any consideration rendered for the sale, service or furnishing of transient lodging. The tax imposed by this subsection shall be in addition to and not in lieu of any local transient lodging tax. The tax shall be collected by the transient lodging provider.</w:t>
      </w:r>
      <w:r w:rsidRPr="00257ECB">
        <w:rPr>
          <w:rFonts w:eastAsia="Times New Roman" w:cs="Times New Roman"/>
        </w:rPr>
        <w:br/>
      </w:r>
      <w:r w:rsidRPr="00257ECB">
        <w:rPr>
          <w:rFonts w:eastAsia="Times New Roman" w:cs="Times New Roman"/>
        </w:rPr>
        <w:br/>
        <w:t>(2) The transient lodging provider shall withhold five percent of the amount the provider collects under subsection (1) of this section for the purpose of reimbursing the provider for the cost of tax collection, record keeping and reporting. [2003 c.818 §2]</w:t>
      </w:r>
      <w:r w:rsidRPr="00257ECB">
        <w:rPr>
          <w:rFonts w:eastAsia="Times New Roman" w:cs="Times New Roman"/>
        </w:rPr>
        <w:br/>
      </w:r>
      <w:r w:rsidRPr="00257ECB">
        <w:rPr>
          <w:rFonts w:eastAsia="Times New Roman" w:cs="Times New Roman"/>
        </w:rPr>
        <w:br/>
        <w:t>Note: See note under 320.300.</w:t>
      </w:r>
      <w:r w:rsidRPr="00257ECB">
        <w:rPr>
          <w:rFonts w:eastAsia="Times New Roman" w:cs="Times New Roman"/>
        </w:rPr>
        <w:br/>
      </w:r>
      <w:r w:rsidRPr="00257ECB">
        <w:rPr>
          <w:rFonts w:eastAsia="Times New Roman" w:cs="Times New Roman"/>
        </w:rPr>
        <w:br/>
      </w:r>
      <w:r w:rsidRPr="00257ECB">
        <w:rPr>
          <w:rFonts w:eastAsia="Times New Roman" w:cs="Times New Roman"/>
          <w:b/>
          <w:bCs/>
        </w:rPr>
        <w:t>320.308 Exemptions.</w:t>
      </w:r>
      <w:r w:rsidRPr="00257ECB">
        <w:rPr>
          <w:rFonts w:eastAsia="Times New Roman" w:cs="Times New Roman"/>
        </w:rPr>
        <w:t xml:space="preserve"> The following are exempt from the state transient lodging tax:</w:t>
      </w:r>
      <w:r w:rsidRPr="00257ECB">
        <w:rPr>
          <w:rFonts w:eastAsia="Times New Roman" w:cs="Times New Roman"/>
        </w:rPr>
        <w:br/>
      </w:r>
      <w:r w:rsidRPr="00257ECB">
        <w:rPr>
          <w:rFonts w:eastAsia="Times New Roman" w:cs="Times New Roman"/>
        </w:rPr>
        <w:br/>
        <w:t xml:space="preserve">(1) A dwelling unit in a hospital, health care facility, long term care facility or any other residential facility </w:t>
      </w:r>
      <w:r w:rsidRPr="00257ECB">
        <w:rPr>
          <w:rFonts w:eastAsia="Times New Roman" w:cs="Times New Roman"/>
        </w:rPr>
        <w:lastRenderedPageBreak/>
        <w:t>that is licensed, registered or certified by the Department of Human Services;</w:t>
      </w:r>
      <w:r w:rsidRPr="00257ECB">
        <w:rPr>
          <w:rFonts w:eastAsia="Times New Roman" w:cs="Times New Roman"/>
        </w:rPr>
        <w:br/>
      </w:r>
      <w:r w:rsidRPr="00257ECB">
        <w:rPr>
          <w:rFonts w:eastAsia="Times New Roman" w:cs="Times New Roman"/>
        </w:rPr>
        <w:br/>
        <w:t xml:space="preserve">(2) A dwelling unit in a facility providing treatment for drug or alcohol abuse or providing mental health treatment; </w:t>
      </w:r>
      <w:r w:rsidRPr="00257ECB">
        <w:rPr>
          <w:rFonts w:eastAsia="Times New Roman" w:cs="Times New Roman"/>
        </w:rPr>
        <w:br/>
      </w:r>
      <w:r w:rsidRPr="00257ECB">
        <w:rPr>
          <w:rFonts w:eastAsia="Times New Roman" w:cs="Times New Roman"/>
        </w:rPr>
        <w:br/>
        <w:t>(3) A dwelling unit that is used by members of the general public for temporary human occupancy for fewer than 30 days per year;</w:t>
      </w:r>
      <w:r w:rsidRPr="00257ECB">
        <w:rPr>
          <w:rFonts w:eastAsia="Times New Roman" w:cs="Times New Roman"/>
        </w:rPr>
        <w:br/>
      </w:r>
      <w:r w:rsidRPr="00257ECB">
        <w:rPr>
          <w:rFonts w:eastAsia="Times New Roman" w:cs="Times New Roman"/>
        </w:rPr>
        <w:br/>
        <w:t>(4) A dwelling unit, the consideration for which is funded through a contract with a government agency and the purpose of which is to provide emergency or temporary shelter;</w:t>
      </w:r>
      <w:r w:rsidRPr="00257ECB">
        <w:rPr>
          <w:rFonts w:eastAsia="Times New Roman" w:cs="Times New Roman"/>
        </w:rPr>
        <w:br/>
      </w:r>
      <w:r w:rsidRPr="00257ECB">
        <w:rPr>
          <w:rFonts w:eastAsia="Times New Roman" w:cs="Times New Roman"/>
        </w:rPr>
        <w:br/>
        <w:t>(5) A dwelling unit at a nonprofit youth or church camp, nonprofit conference center or other nonprofit facility; or</w:t>
      </w:r>
      <w:r w:rsidRPr="00257ECB">
        <w:rPr>
          <w:rFonts w:eastAsia="Times New Roman" w:cs="Times New Roman"/>
        </w:rPr>
        <w:br/>
      </w:r>
      <w:r w:rsidRPr="00257ECB">
        <w:rPr>
          <w:rFonts w:eastAsia="Times New Roman" w:cs="Times New Roman"/>
        </w:rPr>
        <w:br/>
        <w:t>(6) A dwelling unit that is leased or otherwise occupied by the same person for a consecutive period of 30 days or more during the year. The requirements of this subsection are satisfied even if the physical dwelling unit changes during the consecutive period, if:</w:t>
      </w:r>
      <w:r w:rsidRPr="00257ECB">
        <w:rPr>
          <w:rFonts w:eastAsia="Times New Roman" w:cs="Times New Roman"/>
        </w:rPr>
        <w:br/>
      </w:r>
      <w:r w:rsidRPr="00257ECB">
        <w:rPr>
          <w:rFonts w:eastAsia="Times New Roman" w:cs="Times New Roman"/>
        </w:rPr>
        <w:br/>
        <w:t>      (a) All dwelling units occupied are within the same facility; and</w:t>
      </w:r>
      <w:r w:rsidRPr="00257ECB">
        <w:rPr>
          <w:rFonts w:eastAsia="Times New Roman" w:cs="Times New Roman"/>
        </w:rPr>
        <w:br/>
      </w:r>
      <w:r w:rsidRPr="00257ECB">
        <w:rPr>
          <w:rFonts w:eastAsia="Times New Roman" w:cs="Times New Roman"/>
        </w:rPr>
        <w:br/>
        <w:t xml:space="preserve">      (b) The person paying consideration for the transient lodging is the same person throughout the consecutive period. [2005 c.187 §3] </w:t>
      </w:r>
      <w:r w:rsidRPr="00257ECB">
        <w:rPr>
          <w:rFonts w:eastAsia="Times New Roman" w:cs="Times New Roman"/>
        </w:rPr>
        <w:br/>
      </w:r>
      <w:r w:rsidRPr="00257ECB">
        <w:rPr>
          <w:rFonts w:eastAsia="Times New Roman" w:cs="Times New Roman"/>
        </w:rPr>
        <w:br/>
        <w:t>Note: See note under 320.300.</w:t>
      </w:r>
      <w:r w:rsidRPr="00257ECB">
        <w:rPr>
          <w:rFonts w:eastAsia="Times New Roman" w:cs="Times New Roman"/>
        </w:rPr>
        <w:br/>
      </w:r>
      <w:r w:rsidRPr="00257ECB">
        <w:rPr>
          <w:rFonts w:eastAsia="Times New Roman" w:cs="Times New Roman"/>
        </w:rPr>
        <w:br/>
        <w:t>Note: 320.308 was added to and made a part of 320.300 to 320.350 by legislative action but was not added to any smaller series therein. See Preface to Oregon Revised Statutes for further explanation.</w:t>
      </w:r>
      <w:r w:rsidRPr="00257ECB">
        <w:rPr>
          <w:rFonts w:eastAsia="Times New Roman" w:cs="Times New Roman"/>
        </w:rPr>
        <w:br/>
      </w:r>
      <w:r w:rsidRPr="00257ECB">
        <w:rPr>
          <w:rFonts w:eastAsia="Times New Roman" w:cs="Times New Roman"/>
        </w:rPr>
        <w:br/>
      </w:r>
      <w:r w:rsidRPr="00257ECB">
        <w:rPr>
          <w:rFonts w:eastAsia="Times New Roman" w:cs="Times New Roman"/>
          <w:b/>
          <w:bCs/>
        </w:rPr>
        <w:t>320.310 Records and statements.</w:t>
      </w:r>
      <w:r w:rsidRPr="00257ECB">
        <w:rPr>
          <w:rFonts w:eastAsia="Times New Roman" w:cs="Times New Roman"/>
        </w:rPr>
        <w:t xml:space="preserve"> Every transient lodging provider responsible for collecting the tax imposed by ORS 320.305 shall keep records, render statements and comply with rules adopted by the Department of Revenue with respect to the tax. The records and statements required by this section must be sufficient to show whether there is a tax liability under ORS 320.305. [2003 c.818 §3]</w:t>
      </w:r>
      <w:r w:rsidRPr="00257ECB">
        <w:rPr>
          <w:rFonts w:eastAsia="Times New Roman" w:cs="Times New Roman"/>
        </w:rPr>
        <w:br/>
      </w:r>
      <w:r w:rsidRPr="00257ECB">
        <w:rPr>
          <w:rFonts w:eastAsia="Times New Roman" w:cs="Times New Roman"/>
        </w:rPr>
        <w:br/>
        <w:t>Note: See note under 320.300.</w:t>
      </w:r>
      <w:r w:rsidRPr="00257ECB">
        <w:rPr>
          <w:rFonts w:eastAsia="Times New Roman" w:cs="Times New Roman"/>
        </w:rPr>
        <w:br/>
      </w:r>
      <w:r w:rsidRPr="00257ECB">
        <w:rPr>
          <w:rFonts w:eastAsia="Times New Roman" w:cs="Times New Roman"/>
        </w:rPr>
        <w:br/>
      </w:r>
      <w:r w:rsidRPr="00257ECB">
        <w:rPr>
          <w:rFonts w:eastAsia="Times New Roman" w:cs="Times New Roman"/>
          <w:b/>
          <w:bCs/>
        </w:rPr>
        <w:t>320.315 Due date and form of returns; payment of tax.</w:t>
      </w:r>
      <w:r w:rsidRPr="00257ECB">
        <w:rPr>
          <w:rFonts w:eastAsia="Times New Roman" w:cs="Times New Roman"/>
        </w:rPr>
        <w:t xml:space="preserve"> (1) Every transient lodging provider is responsible for collecting the tax imposed under ORS 320.305 and shall file a return with the Department of Revenue, on or before the last day of the month following the end of each calendar quarter, reporting the amount of tax due during the quarter. The department shall prescribe the form of the return required by this section. The rules of the department shall require that returns be made under penalties for false swearing.</w:t>
      </w:r>
      <w:r w:rsidRPr="00257ECB">
        <w:rPr>
          <w:rFonts w:eastAsia="Times New Roman" w:cs="Times New Roman"/>
        </w:rPr>
        <w:br/>
      </w:r>
      <w:r w:rsidRPr="00257ECB">
        <w:rPr>
          <w:rFonts w:eastAsia="Times New Roman" w:cs="Times New Roman"/>
        </w:rPr>
        <w:br/>
        <w:t xml:space="preserve">(2) When a return is required under subsection (1) of this section, the transient lodging provider required to make the return shall remit the tax due to the department at the time fixed for filing the </w:t>
      </w:r>
      <w:r w:rsidRPr="00257ECB">
        <w:rPr>
          <w:rFonts w:eastAsia="Times New Roman" w:cs="Times New Roman"/>
        </w:rPr>
        <w:lastRenderedPageBreak/>
        <w:t>return. [2003 c.818 §4]</w:t>
      </w:r>
      <w:r w:rsidRPr="00257ECB">
        <w:rPr>
          <w:rFonts w:eastAsia="Times New Roman" w:cs="Times New Roman"/>
        </w:rPr>
        <w:br/>
      </w:r>
      <w:r w:rsidRPr="00257ECB">
        <w:rPr>
          <w:rFonts w:eastAsia="Times New Roman" w:cs="Times New Roman"/>
        </w:rPr>
        <w:br/>
        <w:t>Note: See note under 320.300.</w:t>
      </w:r>
      <w:r w:rsidRPr="00257ECB">
        <w:rPr>
          <w:rFonts w:eastAsia="Times New Roman" w:cs="Times New Roman"/>
        </w:rPr>
        <w:br/>
      </w:r>
      <w:r w:rsidRPr="00257ECB">
        <w:rPr>
          <w:rFonts w:eastAsia="Times New Roman" w:cs="Times New Roman"/>
        </w:rPr>
        <w:br/>
      </w:r>
      <w:r w:rsidRPr="00257ECB">
        <w:rPr>
          <w:rFonts w:eastAsia="Times New Roman" w:cs="Times New Roman"/>
          <w:b/>
          <w:bCs/>
        </w:rPr>
        <w:t>320.320 Refunds.</w:t>
      </w:r>
      <w:r w:rsidRPr="00257ECB">
        <w:rPr>
          <w:rFonts w:eastAsia="Times New Roman" w:cs="Times New Roman"/>
        </w:rPr>
        <w:t xml:space="preserve"> If the amount paid by the transient lodging provider to the Department of Revenue under ORS 320.315 exceeds the amount of tax payable, the department shall refund the amount of the excess with interest thereon at the rate established under ORS 305.220 for each month or fraction of a month from the date of payment of the excess until the date of the refund. A refund may not be made to a transient lodging provider who fails to claim the refund within two years after the due date for filing the return to which the claim for refund relates. [2003 c.818 §5]</w:t>
      </w:r>
      <w:r w:rsidRPr="00257ECB">
        <w:rPr>
          <w:rFonts w:eastAsia="Times New Roman" w:cs="Times New Roman"/>
        </w:rPr>
        <w:br/>
      </w:r>
      <w:r w:rsidRPr="00257ECB">
        <w:rPr>
          <w:rFonts w:eastAsia="Times New Roman" w:cs="Times New Roman"/>
        </w:rPr>
        <w:br/>
        <w:t>Note: See note under 320.300.</w:t>
      </w:r>
      <w:r w:rsidRPr="00257ECB">
        <w:rPr>
          <w:rFonts w:eastAsia="Times New Roman" w:cs="Times New Roman"/>
        </w:rPr>
        <w:br/>
      </w:r>
      <w:r w:rsidRPr="00257ECB">
        <w:rPr>
          <w:rFonts w:eastAsia="Times New Roman" w:cs="Times New Roman"/>
        </w:rPr>
        <w:br/>
      </w:r>
      <w:r w:rsidRPr="00257ECB">
        <w:rPr>
          <w:rFonts w:eastAsia="Times New Roman" w:cs="Times New Roman"/>
          <w:b/>
          <w:bCs/>
        </w:rPr>
        <w:t>320.325 Amounts held in trust; enforcement.</w:t>
      </w:r>
      <w:r w:rsidRPr="00257ECB">
        <w:rPr>
          <w:rFonts w:eastAsia="Times New Roman" w:cs="Times New Roman"/>
        </w:rPr>
        <w:t xml:space="preserve"> (1) Every transient lodging provider required to collect the tax imposed by ORS 320.305 shall be deemed to hold the amount collected in trust for the State of Oregon and for payment to the Department of Revenue in the manner and at the time provided by ORS 320.315.</w:t>
      </w:r>
      <w:r w:rsidRPr="00257ECB">
        <w:rPr>
          <w:rFonts w:eastAsia="Times New Roman" w:cs="Times New Roman"/>
        </w:rPr>
        <w:br/>
      </w:r>
      <w:r w:rsidRPr="00257ECB">
        <w:rPr>
          <w:rFonts w:eastAsia="Times New Roman" w:cs="Times New Roman"/>
        </w:rPr>
        <w:br/>
        <w:t>(2) At any time the transient lodging provider required to collect the tax fails to remit any amount deemed to be held in trust for the State of Oregon, the department may enforce collection by the issuance of a distraint warrant for the collection of the delinquent amount and all penalties, interest and collection charges accrued thereon. The warrant shall be issued, docketed and proceeded upon in the same manner and shall have the same force and effect as is prescribed with respect to warrants for the collection of delinquent income taxes. [2003 c.818 §6]</w:t>
      </w:r>
      <w:r w:rsidRPr="00257ECB">
        <w:rPr>
          <w:rFonts w:eastAsia="Times New Roman" w:cs="Times New Roman"/>
        </w:rPr>
        <w:br/>
      </w:r>
      <w:r w:rsidRPr="00257ECB">
        <w:rPr>
          <w:rFonts w:eastAsia="Times New Roman" w:cs="Times New Roman"/>
        </w:rPr>
        <w:br/>
        <w:t>Note: See note under 320.300.</w:t>
      </w:r>
      <w:r w:rsidRPr="00257ECB">
        <w:rPr>
          <w:rFonts w:eastAsia="Times New Roman" w:cs="Times New Roman"/>
        </w:rPr>
        <w:br/>
      </w:r>
      <w:r w:rsidRPr="00257ECB">
        <w:rPr>
          <w:rFonts w:eastAsia="Times New Roman" w:cs="Times New Roman"/>
        </w:rPr>
        <w:br/>
      </w:r>
      <w:r w:rsidRPr="00257ECB">
        <w:rPr>
          <w:rFonts w:eastAsia="Times New Roman" w:cs="Times New Roman"/>
          <w:b/>
          <w:bCs/>
        </w:rPr>
        <w:t>320.330 Applicability of other provisions of law.</w:t>
      </w:r>
      <w:r w:rsidRPr="00257ECB">
        <w:rPr>
          <w:rFonts w:eastAsia="Times New Roman" w:cs="Times New Roman"/>
        </w:rPr>
        <w:t xml:space="preserve"> Unless the context requires otherwise, the provisions of ORS chapters 305, 314 and 316 as to the audit and examination of reports and returns, confidentiality of reports and returns, determination of deficiencies, assessments, claims for refunds, penalties, interest, jeopardy assessments, warrants, conferences and appeals to the Oregon Tax Court, and procedures relating thereto, apply to ORS 320.305 to 320.340, the same as if the tax were a tax imposed upon or measured by net income. All such provisions apply to the taxpayer liable for the tax and to the transient lodging provider required to collect the tax. As to any amount collected and required to be remitted to the Department of Revenue, the tax shall be considered a tax upon the transient lodging provider required to collect the tax and that provider shall be considered a taxpayer. [2003 c.818 §7]</w:t>
      </w:r>
      <w:r w:rsidRPr="00257ECB">
        <w:rPr>
          <w:rFonts w:eastAsia="Times New Roman" w:cs="Times New Roman"/>
        </w:rPr>
        <w:br/>
      </w:r>
      <w:r w:rsidRPr="00257ECB">
        <w:rPr>
          <w:rFonts w:eastAsia="Times New Roman" w:cs="Times New Roman"/>
        </w:rPr>
        <w:br/>
        <w:t>Note: See note under 320.300.</w:t>
      </w:r>
      <w:r w:rsidRPr="00257ECB">
        <w:rPr>
          <w:rFonts w:eastAsia="Times New Roman" w:cs="Times New Roman"/>
        </w:rPr>
        <w:br/>
      </w:r>
      <w:r w:rsidRPr="00257ECB">
        <w:rPr>
          <w:rFonts w:eastAsia="Times New Roman" w:cs="Times New Roman"/>
        </w:rPr>
        <w:br/>
      </w:r>
      <w:r w:rsidRPr="00257ECB">
        <w:rPr>
          <w:rFonts w:eastAsia="Times New Roman" w:cs="Times New Roman"/>
          <w:b/>
          <w:bCs/>
        </w:rPr>
        <w:t>320.335 Distribution of revenues.</w:t>
      </w:r>
      <w:r w:rsidRPr="00257ECB">
        <w:rPr>
          <w:rFonts w:eastAsia="Times New Roman" w:cs="Times New Roman"/>
        </w:rPr>
        <w:t xml:space="preserve"> All moneys received by the Department of Revenue pursuant to ORS 320.305 to 320.340, and interest thereon, shall be paid to the State Treasurer to be held in a suspense account established under ORS 293.445. After the payment of refunds:</w:t>
      </w:r>
      <w:r w:rsidRPr="00257ECB">
        <w:rPr>
          <w:rFonts w:eastAsia="Times New Roman" w:cs="Times New Roman"/>
        </w:rPr>
        <w:br/>
      </w:r>
      <w:r w:rsidRPr="00257ECB">
        <w:rPr>
          <w:rFonts w:eastAsia="Times New Roman" w:cs="Times New Roman"/>
        </w:rPr>
        <w:br/>
        <w:t xml:space="preserve">(1) Moneys necessary to reimburse the Department of Revenue for the actual costs incurred by the </w:t>
      </w:r>
      <w:r w:rsidRPr="00257ECB">
        <w:rPr>
          <w:rFonts w:eastAsia="Times New Roman" w:cs="Times New Roman"/>
        </w:rPr>
        <w:lastRenderedPageBreak/>
        <w:t>department in administering the state transient lodging tax, not to exceed two percent of state transient lodging tax collections, are continuously appropriated to the department; and</w:t>
      </w:r>
      <w:r w:rsidRPr="00257ECB">
        <w:rPr>
          <w:rFonts w:eastAsia="Times New Roman" w:cs="Times New Roman"/>
        </w:rPr>
        <w:br/>
      </w:r>
      <w:r w:rsidRPr="00257ECB">
        <w:rPr>
          <w:rFonts w:eastAsia="Times New Roman" w:cs="Times New Roman"/>
        </w:rPr>
        <w:br/>
        <w:t>(2) The balance of the moneys received shall be transferred to the account of the Oregon Tourism Commission established under ORS 284.131. The moneys transferred under this subsection are continuously appropriated to the Oregon Tourism Commission for the purposes set forth in ORS 284.131. [2003 c.818 §8]</w:t>
      </w:r>
      <w:r w:rsidRPr="00257ECB">
        <w:rPr>
          <w:rFonts w:eastAsia="Times New Roman" w:cs="Times New Roman"/>
        </w:rPr>
        <w:br/>
      </w:r>
      <w:r w:rsidRPr="00257ECB">
        <w:rPr>
          <w:rFonts w:eastAsia="Times New Roman" w:cs="Times New Roman"/>
        </w:rPr>
        <w:br/>
        <w:t>Note: See note under 320.300.</w:t>
      </w:r>
      <w:r w:rsidRPr="00257ECB">
        <w:rPr>
          <w:rFonts w:eastAsia="Times New Roman" w:cs="Times New Roman"/>
        </w:rPr>
        <w:br/>
      </w:r>
      <w:r w:rsidRPr="00257ECB">
        <w:rPr>
          <w:rFonts w:eastAsia="Times New Roman" w:cs="Times New Roman"/>
        </w:rPr>
        <w:br/>
      </w:r>
      <w:r w:rsidRPr="00257ECB">
        <w:rPr>
          <w:rFonts w:eastAsia="Times New Roman" w:cs="Times New Roman"/>
          <w:b/>
          <w:bCs/>
        </w:rPr>
        <w:t>320.340 Exemption from public records law.</w:t>
      </w:r>
      <w:r w:rsidRPr="00257ECB">
        <w:rPr>
          <w:rFonts w:eastAsia="Times New Roman" w:cs="Times New Roman"/>
        </w:rPr>
        <w:t xml:space="preserve"> (1) Public records of moneys received by the Department of Revenue pursuant to ORS 320.305 to 320.340 are exempt from disclosure under ORS 192.410 to 192.505. Nothing in this section shall limit the use that can be made of such information for regulatory purposes or its use and admissibility in any enforcement proceedings.</w:t>
      </w:r>
      <w:r w:rsidRPr="00257ECB">
        <w:rPr>
          <w:rFonts w:eastAsia="Times New Roman" w:cs="Times New Roman"/>
        </w:rPr>
        <w:br/>
      </w:r>
      <w:r w:rsidRPr="00257ECB">
        <w:rPr>
          <w:rFonts w:eastAsia="Times New Roman" w:cs="Times New Roman"/>
        </w:rPr>
        <w:br/>
        <w:t>(2) If a conflict is found to exist between subsection (1) of this section and ORS 314.835, ORS 314.835 controls. [2003 c.818 §8a]</w:t>
      </w:r>
      <w:r w:rsidRPr="00257ECB">
        <w:rPr>
          <w:rFonts w:eastAsia="Times New Roman" w:cs="Times New Roman"/>
        </w:rPr>
        <w:br/>
      </w:r>
      <w:r w:rsidRPr="00257ECB">
        <w:rPr>
          <w:rFonts w:eastAsia="Times New Roman" w:cs="Times New Roman"/>
        </w:rPr>
        <w:br/>
        <w:t>Note: See note under 320.300.</w:t>
      </w:r>
      <w:r w:rsidRPr="00257ECB">
        <w:rPr>
          <w:rFonts w:eastAsia="Times New Roman" w:cs="Times New Roman"/>
        </w:rPr>
        <w:br/>
      </w:r>
      <w:r w:rsidRPr="00257ECB">
        <w:rPr>
          <w:rFonts w:eastAsia="Times New Roman" w:cs="Times New Roman"/>
        </w:rPr>
        <w:br/>
      </w:r>
      <w:r w:rsidRPr="00257ECB">
        <w:rPr>
          <w:rFonts w:eastAsia="Times New Roman" w:cs="Times New Roman"/>
          <w:b/>
          <w:bCs/>
        </w:rPr>
        <w:t>(Local Transient Lodging Taxes)</w:t>
      </w:r>
      <w:r w:rsidRPr="00257ECB">
        <w:rPr>
          <w:rFonts w:eastAsia="Times New Roman" w:cs="Times New Roman"/>
        </w:rPr>
        <w:br/>
      </w:r>
      <w:r w:rsidRPr="00257ECB">
        <w:rPr>
          <w:rFonts w:eastAsia="Times New Roman" w:cs="Times New Roman"/>
        </w:rPr>
        <w:br/>
      </w:r>
      <w:r w:rsidRPr="00257ECB">
        <w:rPr>
          <w:rFonts w:eastAsia="Times New Roman" w:cs="Times New Roman"/>
          <w:b/>
          <w:bCs/>
        </w:rPr>
        <w:t>320.345 Lodging provider collection reimbursement charges.</w:t>
      </w:r>
      <w:r w:rsidRPr="00257ECB">
        <w:rPr>
          <w:rFonts w:eastAsia="Times New Roman" w:cs="Times New Roman"/>
        </w:rPr>
        <w:t xml:space="preserve"> (1) On or after January 1, 2001, a unit of local government that imposed a local transient lodging tax on December 31, 2000, and allowed a transient lodging provider to retain a collection reimbursement charge on that tax, may not decrease the percentage of local transient lodging taxes that is used to fund collection reimbursement charges.</w:t>
      </w:r>
      <w:r w:rsidRPr="00257ECB">
        <w:rPr>
          <w:rFonts w:eastAsia="Times New Roman" w:cs="Times New Roman"/>
        </w:rPr>
        <w:br/>
      </w:r>
      <w:r w:rsidRPr="00257ECB">
        <w:rPr>
          <w:rFonts w:eastAsia="Times New Roman" w:cs="Times New Roman"/>
        </w:rPr>
        <w:br/>
        <w:t>(2) A unit of local government that imposes a new local transient lodging tax on or after January 1, 2001, shall allow a transient lodging provider to retain a collection reimbursement charge of at least five percent of all collected local transient lodging tax revenues. The percentage of the collection reimbursement charge may be increased by the unit of local government.</w:t>
      </w:r>
      <w:r w:rsidRPr="00257ECB">
        <w:rPr>
          <w:rFonts w:eastAsia="Times New Roman" w:cs="Times New Roman"/>
        </w:rPr>
        <w:br/>
      </w:r>
      <w:r w:rsidRPr="00257ECB">
        <w:rPr>
          <w:rFonts w:eastAsia="Times New Roman" w:cs="Times New Roman"/>
        </w:rPr>
        <w:br/>
        <w:t>(3) A unit of local government that increases a local transient lodging tax on or after January 1, 2001, shall allow a transient lodging provider to retain a collection reimbursement charge of at least five percent of all collected local transient lodging tax revenues. The collection reimbursement charge shall apply to all collected local transient lodging tax revenues, including revenues that would have been collected without the increase. The percentage of the collection reimbursement charge may be increased by the unit of local government.</w:t>
      </w:r>
      <w:r w:rsidRPr="00257ECB">
        <w:rPr>
          <w:rFonts w:eastAsia="Times New Roman" w:cs="Times New Roman"/>
        </w:rPr>
        <w:br/>
      </w:r>
      <w:r w:rsidRPr="00257ECB">
        <w:rPr>
          <w:rFonts w:eastAsia="Times New Roman" w:cs="Times New Roman"/>
        </w:rPr>
        <w:br/>
        <w:t>(4) A unit of local government may not offset the loss of local transient lodging tax revenues caused by collection reimbursement charges required by this section by:</w:t>
      </w:r>
      <w:r w:rsidRPr="00257ECB">
        <w:rPr>
          <w:rFonts w:eastAsia="Times New Roman" w:cs="Times New Roman"/>
        </w:rPr>
        <w:br/>
      </w:r>
      <w:r w:rsidRPr="00257ECB">
        <w:rPr>
          <w:rFonts w:eastAsia="Times New Roman" w:cs="Times New Roman"/>
        </w:rPr>
        <w:br/>
        <w:t>      (a) Increasing the rate of the local transient lodging tax;</w:t>
      </w:r>
      <w:r w:rsidRPr="00257ECB">
        <w:rPr>
          <w:rFonts w:eastAsia="Times New Roman" w:cs="Times New Roman"/>
        </w:rPr>
        <w:br/>
      </w:r>
      <w:r w:rsidRPr="00257ECB">
        <w:rPr>
          <w:rFonts w:eastAsia="Times New Roman" w:cs="Times New Roman"/>
        </w:rPr>
        <w:br/>
      </w:r>
      <w:r w:rsidRPr="00257ECB">
        <w:rPr>
          <w:rFonts w:eastAsia="Times New Roman" w:cs="Times New Roman"/>
        </w:rPr>
        <w:lastRenderedPageBreak/>
        <w:t>      (b) Decreasing the percentage of total local transient lodging tax revenues used to fund tourism promotion or tourism-related facilities; or</w:t>
      </w:r>
      <w:r w:rsidRPr="00257ECB">
        <w:rPr>
          <w:rFonts w:eastAsia="Times New Roman" w:cs="Times New Roman"/>
        </w:rPr>
        <w:br/>
      </w:r>
      <w:r w:rsidRPr="00257ECB">
        <w:rPr>
          <w:rFonts w:eastAsia="Times New Roman" w:cs="Times New Roman"/>
        </w:rPr>
        <w:br/>
        <w:t>      (c) Increasing or imposing a new fee solely on transient lodging providers or tourism promotion agencies that are funded by the local transient lodging tax. [2003 c.818 §10]</w:t>
      </w:r>
      <w:r w:rsidRPr="00257ECB">
        <w:rPr>
          <w:rFonts w:eastAsia="Times New Roman" w:cs="Times New Roman"/>
        </w:rPr>
        <w:br/>
      </w:r>
      <w:r w:rsidRPr="00257ECB">
        <w:rPr>
          <w:rFonts w:eastAsia="Times New Roman" w:cs="Times New Roman"/>
        </w:rPr>
        <w:br/>
        <w:t>Note: See note under 320.300.</w:t>
      </w:r>
      <w:r w:rsidRPr="00257ECB">
        <w:rPr>
          <w:rFonts w:eastAsia="Times New Roman" w:cs="Times New Roman"/>
        </w:rPr>
        <w:br/>
      </w:r>
      <w:r w:rsidRPr="00257ECB">
        <w:rPr>
          <w:rFonts w:eastAsia="Times New Roman" w:cs="Times New Roman"/>
        </w:rPr>
        <w:br/>
      </w:r>
      <w:r w:rsidRPr="00257ECB">
        <w:rPr>
          <w:rFonts w:eastAsia="Times New Roman" w:cs="Times New Roman"/>
          <w:b/>
          <w:bCs/>
        </w:rPr>
        <w:t xml:space="preserve">320.347 Alternative remittance of receipts from tax on camping and recreational vehicle spaces. </w:t>
      </w:r>
      <w:r w:rsidRPr="00257ECB">
        <w:rPr>
          <w:rFonts w:eastAsia="Times New Roman" w:cs="Times New Roman"/>
        </w:rPr>
        <w:t>(1) Except as provided in this section, a unit of local government that imposes a tax on the rental of privately owned camping or recreational vehicle spaces shall, regardless of a schedule imposed by the unit of local government for remitting tax receipts, allow a transient lodging provider to hold the tax collected until the amount of money held by the provider equals or exceeds $100.</w:t>
      </w:r>
      <w:r w:rsidRPr="00257ECB">
        <w:rPr>
          <w:rFonts w:eastAsia="Times New Roman" w:cs="Times New Roman"/>
        </w:rPr>
        <w:br/>
      </w:r>
      <w:r w:rsidRPr="00257ECB">
        <w:rPr>
          <w:rFonts w:eastAsia="Times New Roman" w:cs="Times New Roman"/>
        </w:rPr>
        <w:br/>
        <w:t>(2) Once the amount held by a transient lodging provider equals or exceeds $100, or by December 31 of each year if the $100 threshold is not met, the provider shall remit the tax collected at the next following reporting period established by the unit of local government for payment of the tax.</w:t>
      </w:r>
      <w:r w:rsidRPr="00257ECB">
        <w:rPr>
          <w:rFonts w:eastAsia="Times New Roman" w:cs="Times New Roman"/>
        </w:rPr>
        <w:br/>
      </w:r>
      <w:r w:rsidRPr="00257ECB">
        <w:rPr>
          <w:rFonts w:eastAsia="Times New Roman" w:cs="Times New Roman"/>
        </w:rPr>
        <w:br/>
        <w:t>(3) A unit of local government may not assess any penalty or interest against a transient lodging provider that withholds payments pursuant to this section. [2005 c.610 §4]</w:t>
      </w:r>
      <w:r w:rsidRPr="00257ECB">
        <w:rPr>
          <w:rFonts w:eastAsia="Times New Roman" w:cs="Times New Roman"/>
        </w:rPr>
        <w:br/>
      </w:r>
      <w:r w:rsidRPr="00257ECB">
        <w:rPr>
          <w:rFonts w:eastAsia="Times New Roman" w:cs="Times New Roman"/>
        </w:rPr>
        <w:br/>
        <w:t xml:space="preserve">Note: See note under 320.300. </w:t>
      </w:r>
      <w:r w:rsidRPr="00257ECB">
        <w:rPr>
          <w:rFonts w:eastAsia="Times New Roman" w:cs="Times New Roman"/>
        </w:rPr>
        <w:br/>
      </w:r>
      <w:r w:rsidRPr="00257ECB">
        <w:rPr>
          <w:rFonts w:eastAsia="Times New Roman" w:cs="Times New Roman"/>
        </w:rPr>
        <w:br/>
      </w:r>
      <w:r w:rsidRPr="00257ECB">
        <w:rPr>
          <w:rFonts w:eastAsia="Times New Roman" w:cs="Times New Roman"/>
          <w:b/>
          <w:bCs/>
        </w:rPr>
        <w:t>320.350 Tax moratorium; exceptions; uses of revenues.</w:t>
      </w:r>
      <w:r w:rsidRPr="00257ECB">
        <w:rPr>
          <w:rFonts w:eastAsia="Times New Roman" w:cs="Times New Roman"/>
        </w:rPr>
        <w:t xml:space="preserve"> (1) A unit of local government that did not impose a local transient lodging tax on July 1, 2003, may not impose a local transient lodging tax on or after July 2, 2003, unless the imposition of the local transient lodging tax was approved on or before July 1, 2003.</w:t>
      </w:r>
      <w:r w:rsidRPr="00257ECB">
        <w:rPr>
          <w:rFonts w:eastAsia="Times New Roman" w:cs="Times New Roman"/>
        </w:rPr>
        <w:br/>
      </w:r>
      <w:r w:rsidRPr="00257ECB">
        <w:rPr>
          <w:rFonts w:eastAsia="Times New Roman" w:cs="Times New Roman"/>
        </w:rPr>
        <w:br/>
        <w:t>(2) A unit of local government that imposed a local transient lodging tax on July 1, 2003, may not increase the rate of the local transient lodging tax on or after July 2, 2003, to a rate that is greater than the rate in effect on July 1, 2003, unless the increase was approved on or before July 1, 2003.</w:t>
      </w:r>
      <w:r w:rsidRPr="00257ECB">
        <w:rPr>
          <w:rFonts w:eastAsia="Times New Roman" w:cs="Times New Roman"/>
        </w:rPr>
        <w:br/>
      </w:r>
      <w:r w:rsidRPr="00257ECB">
        <w:rPr>
          <w:rFonts w:eastAsia="Times New Roman" w:cs="Times New Roman"/>
        </w:rPr>
        <w:br/>
        <w:t>(3) A unit of local government that imposed a local transient lodging tax on July 1, 2003, may not decrease the percentage of total local transient lodging tax revenues that are actually expended to fund tourism promotion or tourism-related facilities on or after July 2, 2003. A unit of local government that agreed, on or before July 1, 2003, to increase the percentage of total local transient lodging tax revenues that are to be expended to fund tourism promotion or tourism-related facilities, must increase the percentage as agreed.</w:t>
      </w:r>
      <w:r w:rsidRPr="00257ECB">
        <w:rPr>
          <w:rFonts w:eastAsia="Times New Roman" w:cs="Times New Roman"/>
        </w:rPr>
        <w:br/>
      </w:r>
      <w:r w:rsidRPr="00257ECB">
        <w:rPr>
          <w:rFonts w:eastAsia="Times New Roman" w:cs="Times New Roman"/>
        </w:rPr>
        <w:br/>
        <w:t xml:space="preserve">(4) Notwithstanding subsections (1) and (2) of this section, a unit of local government that is financing debt with local transient lodging tax revenues on November 26, 2003, must continue to finance the debt until the retirement of the debt, including any refinancing of that debt. If the tax is not otherwise permitted under subsection (1) or (2) of this section, at the time of the debt retirement: </w:t>
      </w:r>
      <w:r w:rsidRPr="00257ECB">
        <w:rPr>
          <w:rFonts w:eastAsia="Times New Roman" w:cs="Times New Roman"/>
        </w:rPr>
        <w:br/>
      </w:r>
      <w:r w:rsidRPr="00257ECB">
        <w:rPr>
          <w:rFonts w:eastAsia="Times New Roman" w:cs="Times New Roman"/>
        </w:rPr>
        <w:br/>
      </w:r>
      <w:r w:rsidRPr="00257ECB">
        <w:rPr>
          <w:rFonts w:eastAsia="Times New Roman" w:cs="Times New Roman"/>
        </w:rPr>
        <w:lastRenderedPageBreak/>
        <w:t>      (a) The local transient lodging tax revenue that financed the debt shall be used as provided in subsection (5) of this section; or</w:t>
      </w:r>
      <w:r w:rsidRPr="00257ECB">
        <w:rPr>
          <w:rFonts w:eastAsia="Times New Roman" w:cs="Times New Roman"/>
        </w:rPr>
        <w:br/>
      </w:r>
      <w:r w:rsidRPr="00257ECB">
        <w:rPr>
          <w:rFonts w:eastAsia="Times New Roman" w:cs="Times New Roman"/>
        </w:rPr>
        <w:br/>
        <w:t>      (b) The unit of local government shall thereafter eliminate the new tax or increase in tax otherwise described in subsection (1) or (2) of this section.</w:t>
      </w:r>
      <w:r w:rsidRPr="00257ECB">
        <w:rPr>
          <w:rFonts w:eastAsia="Times New Roman" w:cs="Times New Roman"/>
        </w:rPr>
        <w:br/>
      </w:r>
      <w:r w:rsidRPr="00257ECB">
        <w:rPr>
          <w:rFonts w:eastAsia="Times New Roman" w:cs="Times New Roman"/>
        </w:rPr>
        <w:br/>
        <w:t>(5) Subsections (1) and (2) of this section do not apply to a new or increased local transient lodging tax if all of the net revenue from the new or increased tax, following reductions attributed to collection reimbursement charges, is used consistently with subsection (6) of this section to:</w:t>
      </w:r>
      <w:r w:rsidRPr="00257ECB">
        <w:rPr>
          <w:rFonts w:eastAsia="Times New Roman" w:cs="Times New Roman"/>
        </w:rPr>
        <w:br/>
      </w:r>
      <w:r w:rsidRPr="00257ECB">
        <w:rPr>
          <w:rFonts w:eastAsia="Times New Roman" w:cs="Times New Roman"/>
        </w:rPr>
        <w:br/>
        <w:t>      (a) Fund tourism promotion or tourism-related facilities;</w:t>
      </w:r>
      <w:r w:rsidRPr="00257ECB">
        <w:rPr>
          <w:rFonts w:eastAsia="Times New Roman" w:cs="Times New Roman"/>
        </w:rPr>
        <w:br/>
      </w:r>
      <w:r w:rsidRPr="00257ECB">
        <w:rPr>
          <w:rFonts w:eastAsia="Times New Roman" w:cs="Times New Roman"/>
        </w:rPr>
        <w:br/>
        <w:t>      (b) Fund city or county services; or</w:t>
      </w:r>
      <w:r w:rsidRPr="00257ECB">
        <w:rPr>
          <w:rFonts w:eastAsia="Times New Roman" w:cs="Times New Roman"/>
        </w:rPr>
        <w:br/>
      </w:r>
      <w:r w:rsidRPr="00257ECB">
        <w:rPr>
          <w:rFonts w:eastAsia="Times New Roman" w:cs="Times New Roman"/>
        </w:rPr>
        <w:br/>
        <w:t>      (c) Finance or refinance the debt of tourism-related facilities and pay reasonable administrative costs incurred in financing or refinancing that debt, provided that:</w:t>
      </w:r>
      <w:r w:rsidRPr="00257ECB">
        <w:rPr>
          <w:rFonts w:eastAsia="Times New Roman" w:cs="Times New Roman"/>
        </w:rPr>
        <w:br/>
      </w:r>
      <w:r w:rsidRPr="00257ECB">
        <w:rPr>
          <w:rFonts w:eastAsia="Times New Roman" w:cs="Times New Roman"/>
        </w:rPr>
        <w:br/>
        <w:t>           (A) The net revenue may be used for administrative costs only if the unit of local government provides a collection reimbursement charge; and</w:t>
      </w:r>
      <w:r w:rsidRPr="00257ECB">
        <w:rPr>
          <w:rFonts w:eastAsia="Times New Roman" w:cs="Times New Roman"/>
        </w:rPr>
        <w:br/>
      </w:r>
      <w:r w:rsidRPr="00257ECB">
        <w:rPr>
          <w:rFonts w:eastAsia="Times New Roman" w:cs="Times New Roman"/>
        </w:rPr>
        <w:br/>
        <w:t>           (B) Upon retirement of the debt, the unit of local government reduces the tax by the amount by which the tax was increased to finance or refinance the debt.</w:t>
      </w:r>
      <w:r w:rsidRPr="00257ECB">
        <w:rPr>
          <w:rFonts w:eastAsia="Times New Roman" w:cs="Times New Roman"/>
        </w:rPr>
        <w:br/>
      </w:r>
      <w:r w:rsidRPr="00257ECB">
        <w:rPr>
          <w:rFonts w:eastAsia="Times New Roman" w:cs="Times New Roman"/>
        </w:rPr>
        <w:br/>
        <w:t>(6) At least 70 percent of net revenue from a new or increased local transient lodging tax shall be used for the purposes described in subsection (5)(a) or (c) of this section. No more than 30 percent of net revenue from a new or increased local transient lodging tax may be used for the purpose described in subsection (5)(b) of this section. [2003 c.818 §11]</w:t>
      </w:r>
      <w:r w:rsidRPr="00257ECB">
        <w:rPr>
          <w:rFonts w:eastAsia="Times New Roman" w:cs="Times New Roman"/>
        </w:rPr>
        <w:br/>
      </w:r>
      <w:r w:rsidRPr="00257ECB">
        <w:rPr>
          <w:rFonts w:eastAsia="Times New Roman" w:cs="Times New Roman"/>
        </w:rPr>
        <w:br/>
        <w:t>Note: See note under 320.300.</w:t>
      </w:r>
    </w:p>
    <w:sectPr w:rsidR="004A232C" w:rsidRPr="00257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CB"/>
    <w:rsid w:val="00137969"/>
    <w:rsid w:val="00257ECB"/>
    <w:rsid w:val="004A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15DBD-BAC9-499D-9AA3-A4268C4D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9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2782</Words>
  <Characters>15864</Characters>
  <Application>Microsoft Office Word</Application>
  <DocSecurity>0</DocSecurity>
  <Lines>132</Lines>
  <Paragraphs>37</Paragraphs>
  <ScaleCrop>false</ScaleCrop>
  <Company/>
  <LinksUpToDate>false</LinksUpToDate>
  <CharactersWithSpaces>18609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Devlin</dc:creator>
  <cp:keywords/>
  <dc:description/>
  <cp:lastModifiedBy>Nan Devlin</cp:lastModifiedBy>
  <cp:revision>2</cp:revision>
  <dcterms:created xsi:type="dcterms:W3CDTF">2016-11-18T17:43:00Z</dcterms:created>
  <dcterms:modified xsi:type="dcterms:W3CDTF">2016-11-18T17:54:00Z</dcterms:modified>
</cp:coreProperties>
</file>